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招聘岗位、人数及条件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7178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129"/>
        <w:gridCol w:w="1279"/>
        <w:gridCol w:w="3928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center"/>
            </w:pPr>
            <w:r>
              <w:rPr>
                <w:rFonts w:ascii="华文中宋" w:hAnsi="华文中宋" w:eastAsia="华文中宋" w:cs="华文中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数量(人)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left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康复医学教师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针灸推拿学专业（105124、100512）、康复医学与理疗学（105114、100215）；全日制硕士研究生及以上学历、学位；且本科专业为全日制康复治疗学或针灸推拿学（101005、100502k）学历、学位；取得执业医师资格证；年龄30周岁以下。取得中级职称的年龄放宽至35周岁以下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口腔医学类专业(1003)；全日制硕士研究生学历、学位；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取得口腔医学执业医师资格证；年龄30周岁以下。取得中级职称的年龄放宽至35周岁以下。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病理学与病理生理学专业（100104）；全日制硕士研究生及以上学历、学位；且本科为全日制临床医学专业（100201k）学历、学位；取得执业医师资格证；年龄30周岁以下。取得中级职称的年龄放宽至35周岁以下。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影像医学与核医学专业（105107、100207）；全日制硕士研究生及以上学历、学位；取得执业医师资格证；年龄30周岁以下。取得中级职称的年龄放宽至35周岁以下。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校医院医生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中西医结合基础专业（100601）；全日制硕士研究生及以上学历、学位；且本科为全日制中医学专业（100501k）学历、学位；年龄30周岁以下。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专业不限；全日制硕士研究生及以上学历、学位；中共党员；年龄30周岁以下。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宣传部干事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专业不限；全日制硕士研究生及以上学历、学位；中共党员，年龄30周岁以下。</w:t>
            </w:r>
          </w:p>
        </w:tc>
      </w:tr>
    </w:tbl>
    <w:p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6"/>
          <w:szCs w:val="16"/>
          <w:shd w:val="clear" w:fill="FFFFFF"/>
        </w:rPr>
        <w:t>　　注：以上岗位要求中专业名称后括号中的数字为学科专业代码。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42212"/>
    <w:rsid w:val="67D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2019-05-31T08:13:00Z</dcterms:created>
  <dc:creator>与爱飞翔</dc:creator>
  <cp:lastModifiedBy>与爱飞翔</cp:lastModifiedBy>
  <dcterms:modified xsi:type="dcterms:W3CDTF">2019-05-31T08:14:34Z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