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284"/>
        <w:gridCol w:w="850"/>
        <w:gridCol w:w="841"/>
        <w:gridCol w:w="1032"/>
        <w:gridCol w:w="1821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8"/>
            <w:vAlign w:val="center"/>
          </w:tcPr>
          <w:p>
            <w:pPr>
              <w:jc w:val="center"/>
              <w:rPr>
                <w:rFonts w:ascii="方正小标宋_GBK" w:hAnsi="黑体" w:eastAsia="方正小标宋_GBK" w:cs="宋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黑体" w:eastAsia="方正小标宋_GBK" w:cs="宋体"/>
                <w:color w:val="000000"/>
                <w:w w:val="90"/>
                <w:kern w:val="0"/>
                <w:sz w:val="44"/>
                <w:szCs w:val="44"/>
              </w:rPr>
              <w:t>上饶市医疗投资集团有限公司人才招聘报名表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0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全日制学历、学位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最高学历、学位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获得的从业资格证书</w:t>
            </w:r>
          </w:p>
        </w:tc>
        <w:tc>
          <w:tcPr>
            <w:tcW w:w="6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</w:tbl>
    <w:p>
      <w:pPr>
        <w:rPr>
          <w:rFonts w:asciiTheme="minorEastAsia" w:hAnsiTheme="minorEastAsia"/>
          <w:vanish/>
        </w:rPr>
      </w:pPr>
    </w:p>
    <w:tbl>
      <w:tblPr>
        <w:tblStyle w:val="2"/>
        <w:tblpPr w:leftFromText="180" w:rightFromText="180" w:vertAnchor="text" w:horzAnchor="margin" w:tblpY="181"/>
        <w:tblOverlap w:val="never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1884"/>
        <w:gridCol w:w="959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5816"/>
    <w:rsid w:val="01BA4A52"/>
    <w:rsid w:val="6FB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2020-01-19T02:06:00Z</dcterms:created>
  <dc:creator>悠悠</dc:creator>
  <cp:lastModifiedBy>悠悠</cp:lastModifiedBy>
  <dcterms:modified xsi:type="dcterms:W3CDTF">2020-01-19T02:07:29Z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